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E5E" w:rsidRDefault="00000000">
      <w:pPr>
        <w:spacing w:after="838" w:line="259" w:lineRule="auto"/>
        <w:jc w:val="center"/>
      </w:pPr>
      <w:r>
        <w:t>Sukladno odredbama Pravilnika o upisu djece u Dječji vrtić Konavle objavljuje</w:t>
      </w:r>
    </w:p>
    <w:p w:rsidR="00C04E5E" w:rsidRPr="00655058" w:rsidRDefault="00000000">
      <w:pPr>
        <w:pStyle w:val="Heading1"/>
        <w:rPr>
          <w:b/>
          <w:bCs/>
        </w:rPr>
      </w:pPr>
      <w:r w:rsidRPr="00655058">
        <w:rPr>
          <w:b/>
          <w:bCs/>
        </w:rPr>
        <w:t>OBAVIJEST</w:t>
      </w:r>
    </w:p>
    <w:p w:rsidR="00C04E5E" w:rsidRPr="00655058" w:rsidRDefault="00000000">
      <w:pPr>
        <w:spacing w:after="689" w:line="226" w:lineRule="auto"/>
        <w:ind w:left="5" w:right="5"/>
        <w:jc w:val="center"/>
        <w:rPr>
          <w:b/>
          <w:bCs/>
        </w:rPr>
      </w:pPr>
      <w:r w:rsidRPr="00655058">
        <w:rPr>
          <w:b/>
          <w:bCs/>
          <w:sz w:val="30"/>
        </w:rPr>
        <w:t xml:space="preserve">o upisu u program </w:t>
      </w:r>
      <w:proofErr w:type="spellStart"/>
      <w:r w:rsidRPr="00655058">
        <w:rPr>
          <w:b/>
          <w:bCs/>
          <w:sz w:val="30"/>
        </w:rPr>
        <w:t>predškole</w:t>
      </w:r>
      <w:proofErr w:type="spellEnd"/>
      <w:r w:rsidRPr="00655058">
        <w:rPr>
          <w:b/>
          <w:bCs/>
          <w:sz w:val="30"/>
        </w:rPr>
        <w:t xml:space="preserve"> djece obveznika </w:t>
      </w:r>
      <w:proofErr w:type="spellStart"/>
      <w:r w:rsidRPr="00655058">
        <w:rPr>
          <w:b/>
          <w:bCs/>
          <w:sz w:val="30"/>
        </w:rPr>
        <w:t>predškole</w:t>
      </w:r>
      <w:proofErr w:type="spellEnd"/>
      <w:r w:rsidRPr="00655058">
        <w:rPr>
          <w:b/>
          <w:bCs/>
          <w:sz w:val="30"/>
        </w:rPr>
        <w:t xml:space="preserve"> koja nisu uključena u program predškolskog odgoja i obrazovanja u dječjem vrtiću za pedagošku godinu 2025. / 2026. u Dječji vrtić Konavle</w:t>
      </w:r>
    </w:p>
    <w:p w:rsidR="00C04E5E" w:rsidRPr="00655058" w:rsidRDefault="00000000">
      <w:pPr>
        <w:spacing w:after="811"/>
        <w:ind w:left="96" w:right="101"/>
        <w:rPr>
          <w:b/>
          <w:bCs/>
        </w:rPr>
      </w:pPr>
      <w:r>
        <w:t xml:space="preserve">Roditelji / skrbnici djece obveznika </w:t>
      </w:r>
      <w:proofErr w:type="spellStart"/>
      <w:r>
        <w:t>predškole</w:t>
      </w:r>
      <w:proofErr w:type="spellEnd"/>
      <w:r>
        <w:t xml:space="preserve"> koja nisu uključena u programe predškolskog odgoja i obrazovanja u dječjem vrtiću, obavještavaju se da će se upis djece u program </w:t>
      </w:r>
      <w:proofErr w:type="spellStart"/>
      <w:r>
        <w:t>predškole</w:t>
      </w:r>
      <w:proofErr w:type="spellEnd"/>
      <w:r>
        <w:t xml:space="preserve"> ( u trajanju od 250 sati godišnje</w:t>
      </w:r>
      <w:r w:rsidRPr="00655058">
        <w:rPr>
          <w:b/>
          <w:bCs/>
        </w:rPr>
        <w:t>) za pedagošku godinu 2025. / 2026. provoditi u vremenu od 4. rujna do 12. rujna 2025. godine.</w:t>
      </w:r>
    </w:p>
    <w:p w:rsidR="00C04E5E" w:rsidRPr="00655058" w:rsidRDefault="00000000">
      <w:pPr>
        <w:spacing w:after="247" w:line="249" w:lineRule="auto"/>
        <w:ind w:left="19" w:hanging="10"/>
        <w:rPr>
          <w:b/>
          <w:bCs/>
        </w:rPr>
      </w:pPr>
      <w:r w:rsidRPr="00655058">
        <w:rPr>
          <w:b/>
          <w:bCs/>
          <w:sz w:val="26"/>
        </w:rPr>
        <w:t>I.PODNOŠENJE ZAHTJEVA ZA UPIS DJETETA</w:t>
      </w:r>
    </w:p>
    <w:p w:rsidR="00C04E5E" w:rsidRDefault="00000000">
      <w:pPr>
        <w:spacing w:after="279" w:line="249" w:lineRule="auto"/>
        <w:ind w:left="19" w:hanging="10"/>
      </w:pPr>
      <w:r>
        <w:rPr>
          <w:sz w:val="26"/>
        </w:rPr>
        <w:t xml:space="preserve">Dječji vrtić Konavle, koji provodi verificirani program </w:t>
      </w:r>
      <w:proofErr w:type="spellStart"/>
      <w:r>
        <w:rPr>
          <w:sz w:val="26"/>
        </w:rPr>
        <w:t>predškole</w:t>
      </w:r>
      <w:proofErr w:type="spellEnd"/>
      <w:r>
        <w:rPr>
          <w:sz w:val="26"/>
        </w:rPr>
        <w:t xml:space="preserve"> ( u trajanju od 250 sati godišnje) zahtjeve za upis djece zaprimat će</w:t>
      </w:r>
    </w:p>
    <w:p w:rsidR="00C04E5E" w:rsidRPr="00655058" w:rsidRDefault="00000000">
      <w:pPr>
        <w:spacing w:after="130" w:line="259" w:lineRule="auto"/>
        <w:ind w:left="0"/>
        <w:jc w:val="center"/>
        <w:rPr>
          <w:b/>
          <w:bCs/>
        </w:rPr>
      </w:pPr>
      <w:r w:rsidRPr="00655058">
        <w:rPr>
          <w:b/>
          <w:bCs/>
          <w:sz w:val="26"/>
        </w:rPr>
        <w:t>od 4. rujna do 12. rujna 2025. godine.</w:t>
      </w:r>
    </w:p>
    <w:p w:rsidR="00C04E5E" w:rsidRPr="00655058" w:rsidRDefault="00000000">
      <w:pPr>
        <w:spacing w:after="671" w:line="249" w:lineRule="auto"/>
        <w:ind w:left="2731" w:hanging="2635"/>
        <w:rPr>
          <w:b/>
          <w:bCs/>
        </w:rPr>
      </w:pPr>
      <w:r w:rsidRPr="00655058">
        <w:rPr>
          <w:b/>
          <w:bCs/>
          <w:sz w:val="26"/>
        </w:rPr>
        <w:t xml:space="preserve">isključivo predajom Zahtjeva za upis djeteta u program </w:t>
      </w:r>
      <w:proofErr w:type="spellStart"/>
      <w:r w:rsidRPr="00655058">
        <w:rPr>
          <w:b/>
          <w:bCs/>
          <w:sz w:val="26"/>
        </w:rPr>
        <w:t>predškole</w:t>
      </w:r>
      <w:proofErr w:type="spellEnd"/>
      <w:r w:rsidRPr="00655058">
        <w:rPr>
          <w:b/>
          <w:bCs/>
          <w:sz w:val="26"/>
        </w:rPr>
        <w:t xml:space="preserve"> s ostalom potrebnom dokumentacijom u tajništvo Vrtića.</w:t>
      </w:r>
    </w:p>
    <w:p w:rsidR="00C04E5E" w:rsidRPr="00655058" w:rsidRDefault="00655058">
      <w:pPr>
        <w:spacing w:after="247" w:line="249" w:lineRule="auto"/>
        <w:ind w:left="19" w:hanging="10"/>
        <w:rPr>
          <w:b/>
          <w:bCs/>
        </w:rPr>
      </w:pPr>
      <w:r>
        <w:rPr>
          <w:b/>
          <w:bCs/>
          <w:sz w:val="26"/>
        </w:rPr>
        <w:t xml:space="preserve">II. </w:t>
      </w:r>
      <w:r w:rsidR="00000000" w:rsidRPr="00655058">
        <w:rPr>
          <w:b/>
          <w:bCs/>
          <w:sz w:val="26"/>
        </w:rPr>
        <w:t xml:space="preserve"> PROGRAM PREDŠKOLE ( 250 sati godišnje)</w:t>
      </w:r>
    </w:p>
    <w:p w:rsidR="00C04E5E" w:rsidRDefault="00000000">
      <w:pPr>
        <w:spacing w:after="555"/>
        <w:ind w:left="744" w:right="4" w:hanging="355"/>
      </w:pPr>
      <w:r>
        <w:rPr>
          <w:noProof/>
        </w:rPr>
        <w:drawing>
          <wp:inline distT="0" distB="0" distL="0" distR="0">
            <wp:extent cx="42672" cy="15245"/>
            <wp:effectExtent l="0" t="0" r="0" b="0"/>
            <wp:docPr id="1615" name="Picture 1615"/>
            <wp:cNvGraphicFramePr/>
            <a:graphic xmlns:a="http://schemas.openxmlformats.org/drawingml/2006/main">
              <a:graphicData uri="http://schemas.openxmlformats.org/drawingml/2006/picture">
                <pic:pic xmlns:pic="http://schemas.openxmlformats.org/drawingml/2006/picture">
                  <pic:nvPicPr>
                    <pic:cNvPr id="1615" name="Picture 1615"/>
                    <pic:cNvPicPr/>
                  </pic:nvPicPr>
                  <pic:blipFill>
                    <a:blip r:embed="rId5"/>
                    <a:stretch>
                      <a:fillRect/>
                    </a:stretch>
                  </pic:blipFill>
                  <pic:spPr>
                    <a:xfrm>
                      <a:off x="0" y="0"/>
                      <a:ext cx="42672" cy="15245"/>
                    </a:xfrm>
                    <a:prstGeom prst="rect">
                      <a:avLst/>
                    </a:prstGeom>
                  </pic:spPr>
                </pic:pic>
              </a:graphicData>
            </a:graphic>
          </wp:inline>
        </w:drawing>
      </w:r>
      <w:r>
        <w:t xml:space="preserve"> obvezan je i besplatan za djecu u godini prije polaska u osnovnu školu, a koja nisu uključena u program predškolskog odgoja i obrazovanja u dječjem vrtiću.</w:t>
      </w:r>
    </w:p>
    <w:p w:rsidR="00C04E5E" w:rsidRPr="00655058" w:rsidRDefault="00655058">
      <w:pPr>
        <w:spacing w:after="151" w:line="249" w:lineRule="auto"/>
        <w:ind w:left="19" w:hanging="10"/>
        <w:rPr>
          <w:b/>
          <w:bCs/>
        </w:rPr>
      </w:pPr>
      <w:r>
        <w:rPr>
          <w:b/>
          <w:bCs/>
        </w:rPr>
        <w:t>III</w:t>
      </w:r>
      <w:r w:rsidR="00000000" w:rsidRPr="00655058">
        <w:rPr>
          <w:b/>
          <w:bCs/>
        </w:rPr>
        <w:t>. ZAHTJEV ZA UPIS DJETETA 1 UPISNA DOKUMENTACIJA</w:t>
      </w:r>
    </w:p>
    <w:p w:rsidR="00C04E5E" w:rsidRPr="00655058" w:rsidRDefault="00000000">
      <w:pPr>
        <w:spacing w:after="208"/>
        <w:ind w:left="-1" w:right="4"/>
      </w:pPr>
      <w:r w:rsidRPr="00655058">
        <w:t xml:space="preserve">Roditelj / skrbnik djeteta zahtjev za upis djeteta u program </w:t>
      </w:r>
      <w:proofErr w:type="spellStart"/>
      <w:r w:rsidRPr="00655058">
        <w:t>predškole</w:t>
      </w:r>
      <w:proofErr w:type="spellEnd"/>
      <w:r w:rsidRPr="00655058">
        <w:t xml:space="preserve"> ( u trajanju od 250 sati godišnje) treba podnijeti od 4. rujna do 12. rujna 2025. godine isključivo predajom Zahtjeva za upis djeteta i Obrasca za inicijalni razgovor ( preuzima na mrežnoj stranici Vrtića) u program </w:t>
      </w:r>
      <w:proofErr w:type="spellStart"/>
      <w:r w:rsidRPr="00655058">
        <w:t>predškole</w:t>
      </w:r>
      <w:proofErr w:type="spellEnd"/>
      <w:r w:rsidRPr="00655058">
        <w:t xml:space="preserve"> s ostalom potrebnom dokumentacijom u tajništvo Vrtića.</w:t>
      </w:r>
    </w:p>
    <w:p w:rsidR="00C04E5E" w:rsidRPr="00655058" w:rsidRDefault="00000000">
      <w:pPr>
        <w:spacing w:after="247" w:line="249" w:lineRule="auto"/>
        <w:ind w:left="19" w:hanging="10"/>
      </w:pPr>
      <w:r w:rsidRPr="00655058">
        <w:t>Roditelj /</w:t>
      </w:r>
      <w:proofErr w:type="spellStart"/>
      <w:r w:rsidRPr="00655058">
        <w:t>skrbik</w:t>
      </w:r>
      <w:proofErr w:type="spellEnd"/>
      <w:r w:rsidRPr="00655058">
        <w:t xml:space="preserve"> ima mogućnost i odabira drugog objekta dječjeg vrtića ( kao alternativne opcije) za slučaj da dijete ne bude primljeno u objekt koji je bio primarni izbor.</w:t>
      </w:r>
    </w:p>
    <w:p w:rsidR="00C04E5E" w:rsidRPr="00655058" w:rsidRDefault="00000000">
      <w:pPr>
        <w:spacing w:after="247" w:line="249" w:lineRule="auto"/>
        <w:ind w:left="19" w:hanging="10"/>
      </w:pPr>
      <w:r w:rsidRPr="00655058">
        <w:t>Dječji vrtić, nakon što je obradio i prihvatio zahtjeve djece za upis djece kojima je bio primarni izbor, razmatra zahtjeve za upis djece kojima je objekt dječjeg vrtića bio alternativna opcija, ako ima preostalih slobodnih mjesta za upis.</w:t>
      </w:r>
    </w:p>
    <w:p w:rsidR="00C04E5E" w:rsidRDefault="00000000">
      <w:pPr>
        <w:tabs>
          <w:tab w:val="center" w:pos="5484"/>
        </w:tabs>
        <w:ind w:left="-1"/>
        <w:jc w:val="left"/>
      </w:pPr>
      <w:r>
        <w:lastRenderedPageBreak/>
        <w:t>Uz ispunjeni Zahtjev za upis djeteta roditelji prilažu:</w:t>
      </w:r>
      <w:r>
        <w:tab/>
      </w:r>
      <w:r>
        <w:rPr>
          <w:noProof/>
        </w:rPr>
        <w:drawing>
          <wp:inline distT="0" distB="0" distL="0" distR="0">
            <wp:extent cx="9144" cy="9147"/>
            <wp:effectExtent l="0" t="0" r="0" b="0"/>
            <wp:docPr id="3737" name="Picture 3737"/>
            <wp:cNvGraphicFramePr/>
            <a:graphic xmlns:a="http://schemas.openxmlformats.org/drawingml/2006/main">
              <a:graphicData uri="http://schemas.openxmlformats.org/drawingml/2006/picture">
                <pic:pic xmlns:pic="http://schemas.openxmlformats.org/drawingml/2006/picture">
                  <pic:nvPicPr>
                    <pic:cNvPr id="3737" name="Picture 3737"/>
                    <pic:cNvPicPr/>
                  </pic:nvPicPr>
                  <pic:blipFill>
                    <a:blip r:embed="rId6"/>
                    <a:stretch>
                      <a:fillRect/>
                    </a:stretch>
                  </pic:blipFill>
                  <pic:spPr>
                    <a:xfrm>
                      <a:off x="0" y="0"/>
                      <a:ext cx="9144" cy="9147"/>
                    </a:xfrm>
                    <a:prstGeom prst="rect">
                      <a:avLst/>
                    </a:prstGeom>
                  </pic:spPr>
                </pic:pic>
              </a:graphicData>
            </a:graphic>
          </wp:inline>
        </w:drawing>
      </w:r>
    </w:p>
    <w:p w:rsidR="00C04E5E" w:rsidRDefault="00000000">
      <w:pPr>
        <w:spacing w:after="59"/>
        <w:ind w:left="-1" w:right="4" w:firstLine="62"/>
      </w:pPr>
      <w:r>
        <w:rPr>
          <w:noProof/>
        </w:rPr>
        <w:drawing>
          <wp:inline distT="0" distB="0" distL="0" distR="0">
            <wp:extent cx="48768" cy="18293"/>
            <wp:effectExtent l="0" t="0" r="0" b="0"/>
            <wp:docPr id="3738" name="Picture 3738"/>
            <wp:cNvGraphicFramePr/>
            <a:graphic xmlns:a="http://schemas.openxmlformats.org/drawingml/2006/main">
              <a:graphicData uri="http://schemas.openxmlformats.org/drawingml/2006/picture">
                <pic:pic xmlns:pic="http://schemas.openxmlformats.org/drawingml/2006/picture">
                  <pic:nvPicPr>
                    <pic:cNvPr id="3738" name="Picture 3738"/>
                    <pic:cNvPicPr/>
                  </pic:nvPicPr>
                  <pic:blipFill>
                    <a:blip r:embed="rId7"/>
                    <a:stretch>
                      <a:fillRect/>
                    </a:stretch>
                  </pic:blipFill>
                  <pic:spPr>
                    <a:xfrm>
                      <a:off x="0" y="0"/>
                      <a:ext cx="48768" cy="18293"/>
                    </a:xfrm>
                    <a:prstGeom prst="rect">
                      <a:avLst/>
                    </a:prstGeom>
                  </pic:spPr>
                </pic:pic>
              </a:graphicData>
            </a:graphic>
          </wp:inline>
        </w:drawing>
      </w:r>
      <w:r>
        <w:t xml:space="preserve"> presliku rodnog lista ili izvatka iz matice ro</w:t>
      </w:r>
      <w:r w:rsidR="00655058">
        <w:t>đ</w:t>
      </w:r>
      <w:r>
        <w:t xml:space="preserve">enih ili elektronički zapis iz sustava </w:t>
      </w:r>
      <w:proofErr w:type="spellStart"/>
      <w:r>
        <w:t>eGradani</w:t>
      </w:r>
      <w:proofErr w:type="spellEnd"/>
      <w:r>
        <w:t xml:space="preserve">; </w:t>
      </w:r>
      <w:r>
        <w:rPr>
          <w:noProof/>
        </w:rPr>
        <w:drawing>
          <wp:inline distT="0" distB="0" distL="0" distR="0">
            <wp:extent cx="48768" cy="18293"/>
            <wp:effectExtent l="0" t="0" r="0" b="0"/>
            <wp:docPr id="3739" name="Picture 3739"/>
            <wp:cNvGraphicFramePr/>
            <a:graphic xmlns:a="http://schemas.openxmlformats.org/drawingml/2006/main">
              <a:graphicData uri="http://schemas.openxmlformats.org/drawingml/2006/picture">
                <pic:pic xmlns:pic="http://schemas.openxmlformats.org/drawingml/2006/picture">
                  <pic:nvPicPr>
                    <pic:cNvPr id="3739" name="Picture 3739"/>
                    <pic:cNvPicPr/>
                  </pic:nvPicPr>
                  <pic:blipFill>
                    <a:blip r:embed="rId8"/>
                    <a:stretch>
                      <a:fillRect/>
                    </a:stretch>
                  </pic:blipFill>
                  <pic:spPr>
                    <a:xfrm>
                      <a:off x="0" y="0"/>
                      <a:ext cx="48768" cy="18293"/>
                    </a:xfrm>
                    <a:prstGeom prst="rect">
                      <a:avLst/>
                    </a:prstGeom>
                  </pic:spPr>
                </pic:pic>
              </a:graphicData>
            </a:graphic>
          </wp:inline>
        </w:drawing>
      </w:r>
      <w:r>
        <w:t xml:space="preserve"> presliku potvrde MUP-a o prijavi prebivališta/boravišta djeteta ili elektronički zapis (uvjerenje) o aktivnom prebivalištu/ boravištu iz službenih evidencija MUP-a ili presliku osobne iskaznice djeteta; </w:t>
      </w:r>
      <w:r>
        <w:rPr>
          <w:noProof/>
        </w:rPr>
        <w:drawing>
          <wp:inline distT="0" distB="0" distL="0" distR="0">
            <wp:extent cx="51816" cy="21342"/>
            <wp:effectExtent l="0" t="0" r="0" b="0"/>
            <wp:docPr id="3740" name="Picture 3740"/>
            <wp:cNvGraphicFramePr/>
            <a:graphic xmlns:a="http://schemas.openxmlformats.org/drawingml/2006/main">
              <a:graphicData uri="http://schemas.openxmlformats.org/drawingml/2006/picture">
                <pic:pic xmlns:pic="http://schemas.openxmlformats.org/drawingml/2006/picture">
                  <pic:nvPicPr>
                    <pic:cNvPr id="3740" name="Picture 3740"/>
                    <pic:cNvPicPr/>
                  </pic:nvPicPr>
                  <pic:blipFill>
                    <a:blip r:embed="rId9"/>
                    <a:stretch>
                      <a:fillRect/>
                    </a:stretch>
                  </pic:blipFill>
                  <pic:spPr>
                    <a:xfrm>
                      <a:off x="0" y="0"/>
                      <a:ext cx="51816" cy="21342"/>
                    </a:xfrm>
                    <a:prstGeom prst="rect">
                      <a:avLst/>
                    </a:prstGeom>
                  </pic:spPr>
                </pic:pic>
              </a:graphicData>
            </a:graphic>
          </wp:inline>
        </w:drawing>
      </w:r>
      <w:r>
        <w:t xml:space="preserve"> preslike osobnih iskaznica oba roditelja (obostrane); potvrdu nadležnog liječnika o obavljenom sistematskom zdravstvenom pregledu predškolskog djeteta prije upisa u dječji vrtić; </w:t>
      </w:r>
      <w:r>
        <w:rPr>
          <w:noProof/>
        </w:rPr>
        <w:drawing>
          <wp:inline distT="0" distB="0" distL="0" distR="0">
            <wp:extent cx="48768" cy="21342"/>
            <wp:effectExtent l="0" t="0" r="0" b="0"/>
            <wp:docPr id="3741" name="Picture 3741"/>
            <wp:cNvGraphicFramePr/>
            <a:graphic xmlns:a="http://schemas.openxmlformats.org/drawingml/2006/main">
              <a:graphicData uri="http://schemas.openxmlformats.org/drawingml/2006/picture">
                <pic:pic xmlns:pic="http://schemas.openxmlformats.org/drawingml/2006/picture">
                  <pic:nvPicPr>
                    <pic:cNvPr id="3741" name="Picture 3741"/>
                    <pic:cNvPicPr/>
                  </pic:nvPicPr>
                  <pic:blipFill>
                    <a:blip r:embed="rId10"/>
                    <a:stretch>
                      <a:fillRect/>
                    </a:stretch>
                  </pic:blipFill>
                  <pic:spPr>
                    <a:xfrm>
                      <a:off x="0" y="0"/>
                      <a:ext cx="48768" cy="21342"/>
                    </a:xfrm>
                    <a:prstGeom prst="rect">
                      <a:avLst/>
                    </a:prstGeom>
                  </pic:spPr>
                </pic:pic>
              </a:graphicData>
            </a:graphic>
          </wp:inline>
        </w:drawing>
      </w:r>
      <w:r>
        <w:t xml:space="preserve"> presliku zdravstvene iskaznice djeteta; </w:t>
      </w:r>
      <w:r>
        <w:rPr>
          <w:noProof/>
        </w:rPr>
        <w:drawing>
          <wp:inline distT="0" distB="0" distL="0" distR="0">
            <wp:extent cx="51816" cy="18293"/>
            <wp:effectExtent l="0" t="0" r="0" b="0"/>
            <wp:docPr id="3742" name="Picture 3742"/>
            <wp:cNvGraphicFramePr/>
            <a:graphic xmlns:a="http://schemas.openxmlformats.org/drawingml/2006/main">
              <a:graphicData uri="http://schemas.openxmlformats.org/drawingml/2006/picture">
                <pic:pic xmlns:pic="http://schemas.openxmlformats.org/drawingml/2006/picture">
                  <pic:nvPicPr>
                    <pic:cNvPr id="3742" name="Picture 3742"/>
                    <pic:cNvPicPr/>
                  </pic:nvPicPr>
                  <pic:blipFill>
                    <a:blip r:embed="rId11"/>
                    <a:stretch>
                      <a:fillRect/>
                    </a:stretch>
                  </pic:blipFill>
                  <pic:spPr>
                    <a:xfrm>
                      <a:off x="0" y="0"/>
                      <a:ext cx="51816" cy="18293"/>
                    </a:xfrm>
                    <a:prstGeom prst="rect">
                      <a:avLst/>
                    </a:prstGeom>
                  </pic:spPr>
                </pic:pic>
              </a:graphicData>
            </a:graphic>
          </wp:inline>
        </w:drawing>
      </w:r>
      <w:r>
        <w:t xml:space="preserve"> presliku iskaznice imunizacije djeteta (Upis djeteta u dječji vrtić uvjetovan je urednim cijepljenjem prema godišnjem Provedbenom programu obveznog cijepljenja u Republici Hrvatskoj) te Potvrdu o obavljenom sistematskom zdravstvenom pregledu predškolskog djeteta prije upisa u vrtić koju izdaje liječnik.</w:t>
      </w:r>
    </w:p>
    <w:p w:rsidR="00C04E5E" w:rsidRDefault="00000000">
      <w:pPr>
        <w:spacing w:after="302"/>
        <w:ind w:left="-1" w:right="4"/>
      </w:pPr>
      <w:r>
        <w:rPr>
          <w:noProof/>
        </w:rPr>
        <w:drawing>
          <wp:inline distT="0" distB="0" distL="0" distR="0">
            <wp:extent cx="51816" cy="21342"/>
            <wp:effectExtent l="0" t="0" r="0" b="0"/>
            <wp:docPr id="9486" name="Picture 9486"/>
            <wp:cNvGraphicFramePr/>
            <a:graphic xmlns:a="http://schemas.openxmlformats.org/drawingml/2006/main">
              <a:graphicData uri="http://schemas.openxmlformats.org/drawingml/2006/picture">
                <pic:pic xmlns:pic="http://schemas.openxmlformats.org/drawingml/2006/picture">
                  <pic:nvPicPr>
                    <pic:cNvPr id="9486" name="Picture 9486"/>
                    <pic:cNvPicPr/>
                  </pic:nvPicPr>
                  <pic:blipFill>
                    <a:blip r:embed="rId12"/>
                    <a:stretch>
                      <a:fillRect/>
                    </a:stretch>
                  </pic:blipFill>
                  <pic:spPr>
                    <a:xfrm>
                      <a:off x="0" y="0"/>
                      <a:ext cx="51816" cy="21342"/>
                    </a:xfrm>
                    <a:prstGeom prst="rect">
                      <a:avLst/>
                    </a:prstGeom>
                  </pic:spPr>
                </pic:pic>
              </a:graphicData>
            </a:graphic>
          </wp:inline>
        </w:drawing>
      </w:r>
      <w:r>
        <w:t>za djecu s posebnim odgojno-obrazovnim potrebama (teškoće u razvoju, zdravstvene teškoće, potencijalno darovito i dr.) relevantnu dokumentaciju radi utvr</w:t>
      </w:r>
      <w:r w:rsidR="00655058">
        <w:t>đ</w:t>
      </w:r>
      <w:r>
        <w:t>ivanja potreba i razvojnog statusa djeteta: nalaz i mišljenje nadležnog tijela iz sustava socijalne skrbi ili potvrdu izabranog pedijatra ili obiteljskog liječnika, da je razmjer teškoća u razvoju ili kronične bolesti okvirno u skladu s listom oštećenja funkcionalnih sposobnosti, sukladno propisu kojim se ureduje metodologija vještačenja i/ili drugih ustanova (mišljenje stručnog tima dječjeg vrtića odnosno individualizirani odgojno-obrazovni kurikulum ukoliko je dijete prethodno poha</w:t>
      </w:r>
      <w:r w:rsidR="00655058">
        <w:t>đ</w:t>
      </w:r>
      <w:r>
        <w:t>alo dječji vrtić, medicinsku dokumentaciju, i dr.).</w:t>
      </w:r>
    </w:p>
    <w:p w:rsidR="00C04E5E" w:rsidRDefault="00000000">
      <w:pPr>
        <w:spacing w:after="346"/>
        <w:ind w:left="77" w:right="4"/>
      </w:pPr>
      <w:r>
        <w:t>Dječji vrtić ima pravo uz preslike dokumenata zatražiti originale istih na uvid.</w:t>
      </w:r>
    </w:p>
    <w:p w:rsidR="00C04E5E" w:rsidRDefault="00000000">
      <w:pPr>
        <w:spacing w:after="319"/>
        <w:ind w:left="-1" w:right="110"/>
      </w:pPr>
      <w:r>
        <w:t xml:space="preserve">Ukoliko roditelji uz ispunjeni Zahtjev za upis djeteta u program </w:t>
      </w:r>
      <w:proofErr w:type="spellStart"/>
      <w:r>
        <w:t>predškole</w:t>
      </w:r>
      <w:proofErr w:type="spellEnd"/>
      <w:r>
        <w:t xml:space="preserve"> ne prilože dokumentaciju , Vrtić </w:t>
      </w:r>
      <w:proofErr w:type="spellStart"/>
      <w:r>
        <w:t>dužanje</w:t>
      </w:r>
      <w:proofErr w:type="spellEnd"/>
      <w:r>
        <w:t xml:space="preserve"> obavijestiti roditelje i zatražiti dopunu dokumentacije kako bi dijete moglo biti uključeno u obvezni program </w:t>
      </w:r>
      <w:proofErr w:type="spellStart"/>
      <w:r>
        <w:t>predškole</w:t>
      </w:r>
      <w:proofErr w:type="spellEnd"/>
      <w:r>
        <w:t>.</w:t>
      </w:r>
    </w:p>
    <w:p w:rsidR="00C04E5E" w:rsidRDefault="00000000">
      <w:pPr>
        <w:spacing w:after="304"/>
        <w:ind w:left="-1" w:right="4"/>
      </w:pPr>
      <w:r>
        <w:t xml:space="preserve">Ukoliko roditelji po pozivu Vrtića ne dopune dokumentaciju za upis djeteta smatrat će se da su odustali od upisa djeteta u program </w:t>
      </w:r>
      <w:proofErr w:type="spellStart"/>
      <w:r>
        <w:t>predškole</w:t>
      </w:r>
      <w:proofErr w:type="spellEnd"/>
      <w:r>
        <w:t xml:space="preserve"> Vrtića.</w:t>
      </w:r>
    </w:p>
    <w:p w:rsidR="00C04E5E" w:rsidRPr="00655058" w:rsidRDefault="00655058">
      <w:pPr>
        <w:spacing w:after="247" w:line="249" w:lineRule="auto"/>
        <w:ind w:left="19" w:hanging="10"/>
        <w:rPr>
          <w:b/>
          <w:bCs/>
        </w:rPr>
      </w:pPr>
      <w:r>
        <w:rPr>
          <w:b/>
          <w:bCs/>
          <w:sz w:val="26"/>
        </w:rPr>
        <w:t xml:space="preserve">IV. </w:t>
      </w:r>
      <w:r w:rsidR="00000000" w:rsidRPr="00655058">
        <w:rPr>
          <w:b/>
          <w:bCs/>
          <w:sz w:val="26"/>
        </w:rPr>
        <w:t>OBJAVA REZULTATA UPISA</w:t>
      </w:r>
    </w:p>
    <w:p w:rsidR="00C04E5E" w:rsidRDefault="00000000">
      <w:pPr>
        <w:spacing w:after="0"/>
        <w:ind w:left="-1" w:right="4"/>
      </w:pPr>
      <w:r>
        <w:t xml:space="preserve">Rezultati upisa u Program </w:t>
      </w:r>
      <w:proofErr w:type="spellStart"/>
      <w:r>
        <w:t>predškole</w:t>
      </w:r>
      <w:proofErr w:type="spellEnd"/>
      <w:r>
        <w:t xml:space="preserve"> ( u trajanju od 250 sati godišnje) bit će objavljeni na oglasnim pločama u svim objektima i na mrežnoj stranici Dječjeg vrtića.</w:t>
      </w:r>
    </w:p>
    <w:p w:rsidR="00C04E5E" w:rsidRDefault="00000000">
      <w:pPr>
        <w:ind w:left="-1" w:right="4"/>
      </w:pPr>
      <w:r>
        <w:t>Roditelj / skrbnik nezadovoljan rezultatom upisa može izjaviti žalbu Upravnom vijeću do 21. rujna 2025. godine.</w:t>
      </w:r>
    </w:p>
    <w:p w:rsidR="00C04E5E" w:rsidRDefault="00000000">
      <w:pPr>
        <w:ind w:left="-1" w:right="4"/>
      </w:pPr>
      <w:r>
        <w:t xml:space="preserve">Žalba se podnosi u pisanom obliku Upravnom vijeću Vrtića, a dostavlja putem elektroničke pošte na adresu </w:t>
      </w:r>
      <w:hyperlink r:id="rId13" w:history="1">
        <w:r w:rsidR="00655058" w:rsidRPr="004F4BB3">
          <w:rPr>
            <w:rStyle w:val="Hyperlink"/>
          </w:rPr>
          <w:t>tajnica@vrticikonavle.hr</w:t>
        </w:r>
      </w:hyperlink>
      <w:r>
        <w:t>.</w:t>
      </w:r>
    </w:p>
    <w:p w:rsidR="00655058" w:rsidRPr="00655058" w:rsidRDefault="00655058">
      <w:pPr>
        <w:ind w:left="-1" w:right="4"/>
        <w:rPr>
          <w:b/>
          <w:bCs/>
        </w:rPr>
      </w:pPr>
    </w:p>
    <w:p w:rsidR="00C04E5E" w:rsidRPr="00655058" w:rsidRDefault="00000000">
      <w:pPr>
        <w:spacing w:after="247" w:line="249" w:lineRule="auto"/>
        <w:ind w:left="19" w:hanging="10"/>
        <w:rPr>
          <w:b/>
          <w:bCs/>
        </w:rPr>
      </w:pPr>
      <w:r w:rsidRPr="00655058">
        <w:rPr>
          <w:b/>
          <w:bCs/>
          <w:sz w:val="26"/>
        </w:rPr>
        <w:t>V. UPIS U DJEČJI VRTIĆ</w:t>
      </w:r>
    </w:p>
    <w:p w:rsidR="00C04E5E" w:rsidRDefault="00000000">
      <w:pPr>
        <w:spacing w:after="275"/>
        <w:ind w:left="-1" w:right="4"/>
      </w:pPr>
      <w:r>
        <w:t>Djeca se u Dječji vrtić Konavle upisuju na temelju ugovora koji roditelj / skrbnik sklapa s Vrtićem 30. rujna 2025. g.</w:t>
      </w:r>
    </w:p>
    <w:p w:rsidR="00C04E5E" w:rsidRDefault="00000000">
      <w:pPr>
        <w:ind w:left="-1" w:right="4"/>
      </w:pPr>
      <w:r>
        <w:t>Prije sklapanja Ugovora roditelji su obvezni dostaviti Vrtiću:</w:t>
      </w:r>
    </w:p>
    <w:p w:rsidR="00C04E5E" w:rsidRDefault="00000000">
      <w:pPr>
        <w:numPr>
          <w:ilvl w:val="0"/>
          <w:numId w:val="1"/>
        </w:numPr>
        <w:ind w:right="4" w:hanging="134"/>
      </w:pPr>
      <w:r>
        <w:t>potvrdu liječnika o obavljenom sistematskom zdravstvenom pregledu predškolskog djeteta prije upisa u dječji vrtić;</w:t>
      </w:r>
    </w:p>
    <w:p w:rsidR="00C04E5E" w:rsidRDefault="00000000">
      <w:pPr>
        <w:numPr>
          <w:ilvl w:val="0"/>
          <w:numId w:val="1"/>
        </w:numPr>
        <w:ind w:right="4" w:hanging="134"/>
      </w:pPr>
      <w:r>
        <w:t>presliku zdravstvene iskaznice djeteta;</w:t>
      </w:r>
    </w:p>
    <w:p w:rsidR="00C04E5E" w:rsidRDefault="00000000">
      <w:pPr>
        <w:numPr>
          <w:ilvl w:val="0"/>
          <w:numId w:val="1"/>
        </w:numPr>
        <w:spacing w:after="299"/>
        <w:ind w:right="4" w:hanging="134"/>
      </w:pPr>
      <w:r>
        <w:t>presliku iskaznice imunizacije djeteta (podaci o urednoj procijepljenosti djeteta protiv bolesti iz Programa obveznog cijepljenja), a original na uvid, te potvrdu liječnika ukoliko su djetetu utvrđene privremene ili trajne kontraindikacije za cijepljenje protiv pojedinih zaraznih bolesti;</w:t>
      </w:r>
    </w:p>
    <w:p w:rsidR="00C04E5E" w:rsidRDefault="00000000">
      <w:pPr>
        <w:spacing w:after="265"/>
        <w:ind w:left="-1" w:right="4"/>
      </w:pPr>
      <w:r>
        <w:lastRenderedPageBreak/>
        <w:t xml:space="preserve">Dijete upisano u dječji vrtić započinje s ostvarivanjem programa </w:t>
      </w:r>
      <w:proofErr w:type="spellStart"/>
      <w:r>
        <w:t>predškole</w:t>
      </w:r>
      <w:proofErr w:type="spellEnd"/>
      <w:r>
        <w:t xml:space="preserve"> ( u trajanju od 250 sati godišnje) od 1. listopada 2025. godine do 29. svibnja 2026. godine.</w:t>
      </w:r>
    </w:p>
    <w:p w:rsidR="00C04E5E" w:rsidRDefault="00000000">
      <w:pPr>
        <w:spacing w:after="538"/>
        <w:ind w:left="-1" w:right="4"/>
      </w:pPr>
      <w:r>
        <w:t xml:space="preserve">U program </w:t>
      </w:r>
      <w:proofErr w:type="spellStart"/>
      <w:r>
        <w:t>predškole</w:t>
      </w:r>
      <w:proofErr w:type="spellEnd"/>
      <w:r>
        <w:t xml:space="preserve"> ( u trajanju od 250 sati godišnje) djeca se mogu upisivati i tijekom pedagoške godine. Roditelj / skrbnik preuzima dokumentaciju za upis djece ( Zahtjev za upis i Obrazac za inicijalni razgovor ) s mrežnih stranica vrtića i popunjenu predaje u tajništvo vrtića.</w:t>
      </w:r>
    </w:p>
    <w:p w:rsidR="00C04E5E" w:rsidRDefault="00000000">
      <w:pPr>
        <w:ind w:left="-1" w:right="4"/>
      </w:pPr>
      <w:r>
        <w:t>KLASA: 601-10/25-05-17</w:t>
      </w:r>
    </w:p>
    <w:p w:rsidR="00C04E5E" w:rsidRDefault="00000000">
      <w:pPr>
        <w:spacing w:after="811"/>
        <w:ind w:left="-1" w:right="4"/>
      </w:pPr>
      <w:r>
        <w:t>UR.BROJ 2117-104-05-25-18</w:t>
      </w:r>
    </w:p>
    <w:p w:rsidR="00C04E5E" w:rsidRDefault="00000000">
      <w:pPr>
        <w:spacing w:after="0" w:line="259" w:lineRule="auto"/>
        <w:ind w:left="0" w:right="1080"/>
        <w:jc w:val="right"/>
      </w:pPr>
      <w:r>
        <w:rPr>
          <w:noProof/>
        </w:rPr>
        <w:drawing>
          <wp:inline distT="0" distB="0" distL="0" distR="0">
            <wp:extent cx="2538984" cy="1152473"/>
            <wp:effectExtent l="0" t="0" r="0" b="0"/>
            <wp:docPr id="9488" name="Picture 9488"/>
            <wp:cNvGraphicFramePr/>
            <a:graphic xmlns:a="http://schemas.openxmlformats.org/drawingml/2006/main">
              <a:graphicData uri="http://schemas.openxmlformats.org/drawingml/2006/picture">
                <pic:pic xmlns:pic="http://schemas.openxmlformats.org/drawingml/2006/picture">
                  <pic:nvPicPr>
                    <pic:cNvPr id="9488" name="Picture 9488"/>
                    <pic:cNvPicPr/>
                  </pic:nvPicPr>
                  <pic:blipFill>
                    <a:blip r:embed="rId14"/>
                    <a:stretch>
                      <a:fillRect/>
                    </a:stretch>
                  </pic:blipFill>
                  <pic:spPr>
                    <a:xfrm>
                      <a:off x="0" y="0"/>
                      <a:ext cx="2538984" cy="1152473"/>
                    </a:xfrm>
                    <a:prstGeom prst="rect">
                      <a:avLst/>
                    </a:prstGeom>
                  </pic:spPr>
                </pic:pic>
              </a:graphicData>
            </a:graphic>
          </wp:inline>
        </w:drawing>
      </w:r>
      <w:r>
        <w:rPr>
          <w:sz w:val="34"/>
        </w:rPr>
        <w:t xml:space="preserve"> </w:t>
      </w:r>
    </w:p>
    <w:sectPr w:rsidR="00C04E5E">
      <w:pgSz w:w="11904" w:h="16834"/>
      <w:pgMar w:top="1369" w:right="1464" w:bottom="1861" w:left="13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94993"/>
    <w:multiLevelType w:val="hybridMultilevel"/>
    <w:tmpl w:val="C0E6CB56"/>
    <w:lvl w:ilvl="0" w:tplc="426C9DFC">
      <w:start w:val="1"/>
      <w:numFmt w:val="bullet"/>
      <w:lvlText w:val="-"/>
      <w:lvlJc w:val="left"/>
      <w:pPr>
        <w:ind w:left="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A047D2">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CE8C7E">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40392C">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C49096">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C2746E">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AC7A1C">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56A8AE">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3E66F8">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7324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5E"/>
    <w:rsid w:val="00655058"/>
    <w:rsid w:val="00B46182"/>
    <w:rsid w:val="00C04E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B2F8"/>
  <w15:docId w15:val="{613E340A-676B-47FD-8703-12CDB851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28" w:lineRule="auto"/>
      <w:ind w:left="1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63" w:line="259" w:lineRule="auto"/>
      <w:ind w:left="5"/>
      <w:jc w:val="center"/>
      <w:outlineLvl w:val="0"/>
    </w:pPr>
    <w:rPr>
      <w:rFonts w:ascii="Times New Roman" w:eastAsia="Times New Roman" w:hAnsi="Times New Roman" w:cs="Times New Roman"/>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8"/>
    </w:rPr>
  </w:style>
  <w:style w:type="character" w:styleId="Hyperlink">
    <w:name w:val="Hyperlink"/>
    <w:basedOn w:val="DefaultParagraphFont"/>
    <w:uiPriority w:val="99"/>
    <w:unhideWhenUsed/>
    <w:rsid w:val="00655058"/>
    <w:rPr>
      <w:color w:val="0563C1" w:themeColor="hyperlink"/>
      <w:u w:val="single"/>
    </w:rPr>
  </w:style>
  <w:style w:type="character" w:styleId="UnresolvedMention">
    <w:name w:val="Unresolved Mention"/>
    <w:basedOn w:val="DefaultParagraphFont"/>
    <w:uiPriority w:val="99"/>
    <w:semiHidden/>
    <w:unhideWhenUsed/>
    <w:rsid w:val="0065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mailto:tajnica@vrticikonavle.hr"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Vrtici Konavle</dc:creator>
  <cp:keywords/>
  <cp:lastModifiedBy>Vrtici Konavle</cp:lastModifiedBy>
  <cp:revision>2</cp:revision>
  <dcterms:created xsi:type="dcterms:W3CDTF">2025-09-03T11:47:00Z</dcterms:created>
  <dcterms:modified xsi:type="dcterms:W3CDTF">2025-09-03T11:47:00Z</dcterms:modified>
</cp:coreProperties>
</file>